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187</w:t>
      </w:r>
    </w:p>
    <w:p>
      <w:r>
        <w:t>Bundesgericht (BGE), 2010-01-29, DE</w:t>
      </w:r>
    </w:p>
    <w:p>
      <w:r>
        <w:rPr>
          <w:b/>
        </w:rPr>
        <w:t xml:space="preserve">Quelle: </w:t>
      </w:r>
      <w:r>
        <w:t>https://mcp.opencaselaw.ch/entscheid/bge_136 II 187</w:t>
      </w:r>
    </w:p>
    <w:p>
      <w:r>
        <w:t>FR: ATF 136 II 187</w:t>
      </w:r>
    </w:p>
    <w:p>
      <w:r>
        <w:t>IT: DTF 136 II 187</w:t>
      </w:r>
    </w:p>
    <w:p>
      <w:pPr>
        <w:pStyle w:val="Heading2"/>
      </w:pPr>
      <w:r>
        <w:t>Regeste</w:t>
      </w:r>
    </w:p>
    <w:p>
      <w:r>
        <w:t>Regeste Art. 20 Abs. 1 VG; Schadenersatzansprüche der Witwe eines Asbestopfers; Beginn der absoluten Verwirkung. Die absolute Verwirkungsfrist von zehn Jahren beginnt entsprechend dem Wortlaut von Art. 20 Abs. 1 VG mit dem Tag der schädigenden Handlung bzw. Unterlassung mit der Konsequenz, dass der Schadenersatzanspruch vor Eintritt des Schadens - hier Ausbruch der Krankheit/Tod - verwirkt sein kann (E. 7). Dem steht Art. 6 Ziff. 1 EMRK nicht entgegen (E. 8.2).</w:t>
      </w:r>
    </w:p>
    <w:p>
      <w:pPr>
        <w:pStyle w:val="Heading2"/>
      </w:pPr>
      <w:r>
        <w:t>Erwägungen</w:t>
      </w:r>
    </w:p>
    <w:p>
      <w:r>
        <w:rPr>
          <w:b/>
        </w:rPr>
        <w:t>E. 3.1</w:t>
      </w:r>
    </w:p>
    <w:p>
      <w:r>
        <w:t>Was die Rechtsgrundlagen für die Frage der Haftung der SUVA anbelangt, sind SUVA und Vorinstanz bezüglich Zuständigkeits- und Verfahrensbestimmungen zu Recht davon ausgegangen, dass Art. 78 Abs. 2 und 4 des am 1. Januar 2003 in Kraft getretenen ATSG (SR 830.1) anwendbar ist. Dies entspricht dem allgemeinen intertemporalrechtlichen Grundsatz, wonach neue Verfahrensbestimmungen unter Vorbehalt abweichender Übergangsbestimmungen mit dem Tag ihres Inkrafttretens in der Regel sofort und in vollem Umfang anwendbar sind ( BGE 131 V 314 E. 3.3 S. 316 mit Hinweisen).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(vgl. BGE 132 V 93 E. 2.2 S. 96; BGE 112 V 356 E. 4a S. 360; ALFRED KÖLZ, Intertemporales Verwaltungsrecht, ZSR 102/1983 II S. 222; MEYER/ARNOLD, Intertemporales Recht. Eine Bestandesaufnahme anhand der Rechtsprechung der beiden öffentlich-rechtlichen Abteilungen des Bundesgerichts und des Eidgenössischen Versicherungsgerichts, ZSR 124/2005 I S. 115 ff., dort S. 135 und 140). Das trifft im vorliegenden Fall zu. Indem Art. 78 Abs. 2 ATSG die zuständige Behörde verpflichtet, über streitige "Ersatzforderungen" mittels Verfügung zu entscheiden und Art. 78 Abs. 4 Satz 1 ATSG für das Beschwerdeverfahren auf die entsprechenden Bestimmungen des ATSG (Art. 56-62) verweist, knüpfen die neuen, am 1. Januar 2003 in Kraft getretenen BGE 136 II 187 S. 190 Verfahrens- und Zuständigkeitsbestimmungen von Art. 78 ATSG an die allgemeine Verfahrensregelung in Art. 10 Abs. 1 des Bundesgesetzes vom 14. März 1958 über die Verantwortlichkeit des Bundes sowie seiner Behördemitglieder und Beamten (Verantwortlichkeitsgesetz, VG; SR 170.32) an. Für das sozialversicherungsrechtliche Haftungsrecht wurde somit mit dem ATSG keine grundlegend neue Verfahrens- und Zuständigkeitsordnung geschaffen (vgl. SVR 2009 UV Nr. 9 S. 36, 8C_510/2007 E. 3).</w:t>
      </w:r>
    </w:p>
    <w:p>
      <w:r>
        <w:rPr>
          <w:b/>
        </w:rPr>
        <w:t>E. 3.2</w:t>
      </w:r>
    </w:p>
    <w:p>
      <w:r>
        <w:t>Materiellrechtlich nimmt die Übergangsbestimmung von Art. 82 Abs. 1 ATSG grundsätzlich die bei seinem Inkrafttreten laufenden Leistungen und festgesetzten Forderungen von der Anwendbarkeit dieses Gesetzes aus, somit jene Fälle, in welchen über die Rechte und Pflichten vor dem 1. Januar 2003 rechtskräftig verfügt worden ist. In Bezug auf Leistungen, welche bei Inkrafttreten des ATSG noch nicht rechtskräftig festgesetzt worden sind, ist gemäss Rechtsprechung - vorbehältlich der in Art. 82 Abs. 1 ATSG speziell normierten Tatbestände - von einer echten Lücke auszugehen, welche grundsätzlich unter Rückgriff auf den (materiell) intertemporal-rechtlichen Grundsatz auszufüllen ist, wonach in zeitlicher Hinsicht bei einer Änderung der gesetzlichen Grundlage in der Regel diejenigen Rechtssätze massgebend sind, die im Zeitraum der Verwirklichung des zu Rechtsfolgen führenden Sachverhaltes in Kraft standen (vgl. BGE 131 V 425 E. 5 S. 429; siehe auch MEYER/ARNOLD, a.a.O., S. 127 ff.). Die streitige Haftung der SUVA ist somit für die Zeit vor Inkrafttreten des ATSG aufgrund der damals anwendbaren Bestimmungen des VG und nur für die Zeit ab 1. Januar 2003 nach den Bestimmungen des ATSG zu beurteilen. Die Unterscheidung ist vorliegend insofern nicht von grosser Bedeutung, als in der Verantwortlichkeitsbestimmung von Art. 78 ATSG die Art. 3-9, 11, 12, 20 Abs. 1, 21 und 23 VG sinngemäss anwendbar erklärt werden ( Art. 78 Abs. 4 ATSG ).</w:t>
      </w:r>
    </w:p>
    <w:p>
      <w:r>
        <w:rPr>
          <w:b/>
        </w:rPr>
        <w:t>E. 4</w:t>
      </w:r>
    </w:p>
    <w:p>
      <w:r>
        <w:t>Der Versicherte ist am 10. November 2005 an den Folgen eines malignen, asbestinduzierten Pleuramesothelioms, welches die SUVA als Berufskrankheit anerkannt hatte, verstorben. Streitig und zu prüfen sind Schadenersatz- und Genugtuungsansprüche der Witwe des Verstorbenen gegenüber der SUVA zufolge Unterlassung gesetzlich gebotener Schutzpflichten.</w:t>
      </w:r>
    </w:p>
    <w:p>
      <w:r>
        <w:rPr>
          <w:b/>
        </w:rPr>
        <w:t>E. 4.1</w:t>
      </w:r>
    </w:p>
    <w:p>
      <w:r>
        <w:t>Wie die Vorinstanz dargelegt hat, ist die SUVA eine öffentlich-rechtliche Anstalt des Bundes mit eigener Rechtspersönlichkeit BGE 136 II 187 S. 191 ( Art. 61 UVG ; SR 832.20). Ihre vorliegend zu prüfende Haftung richtet sich - wie in Erwägung 3.2 hievor ausgeführt - nach den Bestimmungen des VG (bis 31. Dezember 2002 direkt nach Art. 19 VG und ab 1. Januar 2003 sinngemäss nach bestimmten Vorschriften des VG gestützt auf den Verweis in Art. 78 ATSG ). Für einem Dritten zugefügten Schaden haftet die SUVA demzufolge nach Massgabe von Art. 3-6 VG . Es handelt sich dabei gemäss Art. 3 Abs. 1 VG um eine Kausalhaftung, die kein Verschulden voraussetzt. Für den Anspruch auf Schadenersatz genügt das Vorliegen eines Schadens, eines widerrechtlichen Verhaltens und eines Kausalzusammenhangs zwischen den beiden erstgenannten Voraussetzungen. Wird ein Mensch getötet oder erleidet er eine Körperverletzung, kann unter Würdigung der besonderen Umstände zusätzlich eine Genugtuung ausgerichtet werden, falls den fehlbaren Angestellten ein Verschulden trifft ( Art. 6 Abs. 1 VG ).</w:t>
      </w:r>
    </w:p>
    <w:p>
      <w:r>
        <w:rPr>
          <w:b/>
        </w:rPr>
        <w:t>E. 4.2</w:t>
      </w:r>
    </w:p>
    <w:p>
      <w:r>
        <w:t>Auch eine Unterlassung, womit die Beschwerdeführerin ihren Anspruch begründet, kann widerrechtlich sein, indessen - wie das kantonale Gericht zutreffend dargelegt hat - nur, wenn eine eigentliche Pflicht der Behörde bzw. Anstalt zum Handeln bestand. Für Schädigungen infolge einer Unterlassung kann sich eine Haftpflicht somit nicht aus einer natürlichen Kausalität ergeben, sondern nur dadurch, dass eine Garantenpflicht verletzt worden ist. Eine solche kann lediglich durch rechtliche Vorschriften begründet werden ( BGE 133 V 14 E. 8.1 S. 19; SVR 2009 UV Nr. 9 S. 39, 8C_510/2007 E. 7.3.1; je mit Hinweisen). Die entsprechenden gesetzlichen Bestimmungen betreffend Zuständigkeit der SUVA im Rahmen der Verhütung von Berufsunfällen und Berufskrankheiten hat die Vorinstanz korrekt wiedergegeben ( Art. 84 und 85 UVG ; Art. 47 ff. der Verordnung vom 19. Dezember 1983 über die Verhütung von Unfällen und Berufskrankheiten [Verordnung über die Unfallverhütung, VUV; SR 832.30] ). Da sie im vorliegenden Verfahren nicht weiter relevant sind, kann diesbezüglich auf den angefochtenen Entscheid verwiesen werden. Präzisierend ist lediglich darauf hinzuweisen, dass bereits vor Inkrafttreten der VUV am 1. Januar 1984 gestützt auf die (aufgehobene) Verordnung vom 23. Dezember 1960 über die Verhütung von Berufskrankheiten eine ähnliche, jedoch weniger detaillierte Regelung galt (vgl. Urteil 2A.402/2000 vom 23. August 2001 E. 3b/bb).</w:t>
      </w:r>
    </w:p>
    <w:p>
      <w:r>
        <w:rPr>
          <w:b/>
        </w:rPr>
        <w:t>E. 4.3</w:t>
      </w:r>
    </w:p>
    <w:p>
      <w:r>
        <w:t>Die Haftung der SUVA erlischt, wie die Vorinstanz zutreffend dargelegt hat, wenn der Geschädigte sein Begehren auf BGE 136 II 187 S. 192 Schadenersatz oder Genugtuung nicht innert eines Jahres seit Kenntnis des Schadens einreicht, auf alle Fälle nach zehn Jahren seit dem Tage der schädigenden Handlung ( Art. 20 Abs. 1 VG ). Bei Unterlassungen ist für den Fristenlauf der Zeitpunkt der letzten relevanten Unterlassung massgebend (Urteil 6B_627/2007 vom 11. August 2008 E. 4.4, nicht publ. in: BGE 134 IV 297 ). Die relative Frist von einem Jahr seit Kenntnis des Schadens ist mit der Eingabe vom 14. November 2005 unbestrittenermassen eingehalten. Anknüpfend an die absolute Frist von zehn Jahren seit dem Tag der schädigenden Handlung führte das kantonale Gericht aus, zur Beurteilung, ob ein Anspruch aus einem allfälligen schädigenden Verhalten der Beschwerdegegnerin vorliege, sei lediglich der Sachverhalt ab 14. November 1995 zu prüfen, wobei es die Voraussetzungen verneinte. Ein Anspruch aus einem allfälligen schädigenden Verhalten vor diesem Zeitpunkt, namentlich in den Jahren 1965-1978 (Wechsel in den Innendienst), in welchen der verstorbene Versicherte bei der Arbeit asbesthaltigen Substanzen ausgesetzt war, sei verwirkt - so die Vorinstanz.</w:t>
      </w:r>
    </w:p>
    <w:p>
      <w:r>
        <w:rPr>
          <w:b/>
        </w:rPr>
        <w:t>E. 5</w:t>
      </w:r>
    </w:p>
    <w:p>
      <w:r>
        <w:t>Die Beschwerdeführerin thematisiert aufgrund des Vorfragecharakters der Verjährungs-/Verwirkungsproblematik in erster Linie die Frage der Verjährung. Sie macht im Wesentlichen geltend, für den Zeitraum vor 14. November 1995 sei weder Verjährung noch Verwirkung eingetreten, da eine Schadenersatzforderung nicht verjähren könne, bevor der Schaden feststehe. Was den Zeitraum ab 14. November 1995 anbelange, sei der Sachverhalt ungenügend abgeklärt bzw. unrichtig festgestellt und zu Unrecht eine Sorgfaltspflichtverletzung der Beschwerdegegnerin verneint worden.</w:t>
      </w:r>
    </w:p>
    <w:p>
      <w:r>
        <w:rPr>
          <w:b/>
        </w:rPr>
        <w:t>E. 6</w:t>
      </w:r>
    </w:p>
    <w:p>
      <w:r>
        <w:t>Soweit die Beschwerdeführerin zunächst eine Rechtsverletzung darin sieht, dass die Vorinstanz auf Verwirkung allfälliger Verantwortlichkeitsansprüche und nicht auf deren Verjährung erkannt hat, ist ihr entgegenzuhalten, dass Rechtsprechung und herrschende Lehre beim Erlöschen der Haftung gemäss Art. 20 Abs. 1 VG von einer Verwirkung der Ansprüche ausgehen (vgl. BGE 133 V 14 E. 6 S. 18; BGE 126 II 145 E. 2a S. 150; je mit Hinweisen; HÄFELIN/MÜLLER/UHLMANN, Allgemeines Verwaltungsrecht, 5. Aufl. 2006, S. 168 f.; PIERRE MOOR, Droit administratif II, Les actes administratifs et leur contrôle, 2. Aufl. 2002, S. 87 ff. und 714; a.M.: CHRISTINE CHAPPUIS, La péremption en droit de la responsabilité civile, in: Le temps dans la responsabilité civile, 2007, S. 121 ff.). Die Frist kann somit - im Gegensatz zu einer Verjährungsfrist - grundsätzlich weder gehemmt oder BGE 136 II 187 S. 193 unterbrochen noch erstreckt werden und ist stets von Amtes wegen zu berücksichtigen (HÄFELIN/MÜLLER/UHLMANN, a.a.O., S. 168; MOOR, a.a.O., S. 88 f.). Auf die Unterscheidung zwischen Verwirkung und Verjährung, welche das Bundesgericht terminologisch nicht immer einheitlich durchgeführt hat (vgl. BGE 126 II 145 E. 2a S. 150 f. mit Hinweisen), braucht nicht näher eingegangen zu werden, da die Frist von zehn Jahren vorliegend weder gehemmt oder unterbrochen noch erstreckt wurde und die Beschwerdegegnerin die Einrede der Verjährung/Verwirkung erhoben hat. Der Beschwerdeführerin ist insoweit zuzustimmen, als gemäss Rechtsprechung eine Verwirkungsfrist unter bestimmten Voraussetzungen wiederhergestellt werden kann, so etwa wenn die berechtigte Person aus unverschuldeten, unüberwindbaren Gründen verhindert war, den Anspruch rechtzeitig geltend zu machen. Die Wiederherstellung von Verwirkungsfristen gilt als allgemeiner Rechtsgrundsatz und berücksichtigt Hinderungsgründe wie Krankheit, Unfall, Naturkatastrophen, o.Ä. (vgl. BGE 114 V 123 E. 3b S. 124 mit Hinweisen; ANDRÉ PIERRE HOLZER, Verjährung und Verwirkung der Leistungsansprüche im Sozialversicherungsrecht, 2005, S. 42 f.; ATTILIO GADOLA, Verjährung und Verwirkung im öffentlichen Recht, AJP 1995 S. 57; MOOR, a.a.O., S. 88 f.; je mit Hinweisen). Ein solcher Grund liegt nicht vor. Die von der Beschwerdeführerin diesbezüglich geltend gemachte fehlende Kenntnis des Schadens kann nicht als unüberwindbarer Grund im oben dargelegten Sinne gelten, betrifft sie doch die eigentliche Frage der Verwirkung selber, nicht bloss deren Geltendmachung, und würde die Anerkennung eines solchen Grundes dem Zweck der absoluten Verwirkung - dem Erlöschen der Haftung zehn Jahre nach dem Tag der schädigenden Handlung - zuwiderlaufen.</w:t>
      </w:r>
    </w:p>
    <w:p>
      <w:r>
        <w:rPr>
          <w:b/>
        </w:rPr>
        <w:t>E. 7</w:t>
      </w:r>
    </w:p>
    <w:p>
      <w:r>
        <w:t>Zu prüfen ist sodann die Grundsatzfrage, ob gestützt auf Art. 78 ATSG bzw. Art. 19 VG geltend gemachte Verantwortlichkeitsansprüche erlöschen können, bevor der Schaden überhaupt eingetreten ist.</w:t>
      </w:r>
    </w:p>
    <w:p>
      <w:r>
        <w:rPr>
          <w:b/>
        </w:rPr>
        <w:t>E. 7.1</w:t>
      </w:r>
    </w:p>
    <w:p>
      <w:r>
        <w:t>Gemäss Art. 20 Abs. 1 VG , auf welchen Art. 78 ATSG verweist, erlischt die Haftung des Bundes, wenn der Geschädigte sein Begehren auf Schadenersatz oder Genugtuung nicht innert eines Jahres seit Kenntnis des Schadens einreicht, auf alle Fälle nach zehn Jahren seit dem Tag der schädigenden Handlung des Beamten. Der Wortlaut dieser Bestimmung ist klar und entspricht sowohl der französischen wie auch der italienischen Fassung (französische Fassung: "La responsabilité de la Confédération s'éteint si le lésé n'introduit BGE 136 II 187 S. 194 pas sa demande de dommages-intérêts ou d'indemnité à titre de réparation morale dans l'année à compter du jour où il a eu connaissance du dommage, et en tout cas dans les dix ans à compter de l'acte dommageable du fonctionnaire."; italienische Fassung: "La responsabilità della Confederazione si estingue, se il danneggiato non domanda il risarcimento, o l'indennità pecuniaria a titolo di riparazione, nel termine di un anno dal giorno in cui conobbe il danno e, in ogni caso, nel termine di dieci anni dal giorno in cui il funzionario commise l'atto che l'ha cagionato."). Während die relative Frist von einem Jahr an die Kenntnis des Schadens anknüpft, läuft die absolute Frist von zehn Jahren ab dem Tag der schädigenden Handlung und somit unabhängig vom Zeitpunkt des Schadenseintritts.</w:t>
      </w:r>
    </w:p>
    <w:p>
      <w:r>
        <w:rPr>
          <w:b/>
        </w:rPr>
        <w:t>E. 7.2</w:t>
      </w:r>
    </w:p>
    <w:p>
      <w:r>
        <w:t>Die Beschwerdeführerin rügt die Anwendung dieser Bestimmung gemäss Wortlaut, weil dadurch eine Schadenersatzforderung durch Zeitablauf untergehen könne, bevor der Schaden überhaupt entstehe und feststehe, was in verschiedener Hinsicht eine Rechtsverletzung darstelle.</w:t>
      </w:r>
    </w:p>
    <w:p>
      <w:r>
        <w:rPr>
          <w:b/>
        </w:rPr>
        <w:t>E. 7.3</w:t>
      </w:r>
    </w:p>
    <w:p>
      <w:r>
        <w:t>Ausgangspunkt der Auslegung ist der Wortlaut.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allein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134 V 170 E. 4.1 S. 174 mit Hinweis).</w:t>
      </w:r>
    </w:p>
    <w:p>
      <w:r>
        <w:rPr>
          <w:b/>
        </w:rPr>
        <w:t>E. 7.4</w:t>
      </w:r>
    </w:p>
    <w:p>
      <w:r>
        <w:t>Art. 20 Abs. 1 VG regelt im Abschnitt "Verjährung und Verwirkung" das Erlöschen der Haftung des Bundes bzw. mit öffentlich-rechtlichen Aufgaben des Bundes betrauter Organisationen durch Zeitablauf ab dem Tag der schädigenden Handlung. Der Rechtsgrund dieser Bestimmung liegt - wie bei Verjährungs- und Verwirkungsregelungen im Allgemeinen - gemäss Rechtsprechung und herrschender Lehre im öffentlichen Interesse, in erster Linie in der Wahrung von Rechtssicherheit und Rechtsfrieden. Weiter wird dadurch dem Umstand Rechnung getragen, dass Zeitablauf die BGE 136 II 187 S. 195 Verhältnisse verdunkelt und dadurch der Beweis erschwert wird. Das Rechtsinstitut schützt schliesslich den Schuldner vor Ansprüchen aus lange zurückliegender Zeit (vgl. GADOLA, a.a.O., S. 48; HOLZER, a.a.O., S. 12 ff. und 34 ff.; je mit Hinweisen). Zu Diskussionen Anlass gegeben hat diese Regelung bei Spätschäden, d.h. in Fällen, bei denen der Schaden erst später als zehn Jahre nach der schädigenden Handlung bzw. Unterlassung eintritt und somit der Schadenersatzanspruch bereits erloschen ist. Namentlich hingewiesen wird in diesem Zusammenhang auf die Asbestopfer, bei welchen zufolge der sehr langen Latenzzeit der Ausbruch der Krankheit bzw. der Tod erst nach Ablauf von zehn Jahren nach der Asbestexposition eintritt. Diese Konstellation findet sich nicht nur bei den vorliegend streitigen Schadenersatz- und Genugtuungsansprüchen gegenüber der SUVA nach Verantwortlichkeitsgesetz, sondern auch bei Ansprüchen aus Strafrecht, aus Opferhilfe sowie aus unerlaubter Handlung. Im Folgenden wird die jeweilige Rechtsprechung aufgezeigt:</w:t>
      </w:r>
    </w:p>
    <w:p>
      <w:r>
        <w:rPr>
          <w:b/>
        </w:rPr>
        <w:t>E. 7.4.1</w:t>
      </w:r>
    </w:p>
    <w:p>
      <w:r>
        <w:t>Bezüglich Anwendung von Art. 20 Abs. 1 VG hat das Bundesgericht in Fällen um Haftungsansprüche gegen die Eidgenossenschaft aus Handlungen der Grenzorgane während des Zweiten Weltkriegs sowie wegen rechtswidriger Einflussnahme der Staatsschutzbehörden auf die Arbeitgeberin entschieden, dass die absolute Verwirkung eintreten kann, bevor die geschädigte Person ihre Ersatzansprüche kennt. Zur Begründung hat es darauf hingewiesen, dass Ausgangspunkt der subsidiären absoluten Verjährung oder Verwirkung von zehn Jahren eben die unerlaubte Handlung im weiteren Sinn ist, d.h. das schädigende Verhalten, welches eine Rechtsgutsverletzung nach sich zieht, und zwar unabhängig davon, ob die geschädigte Person vom Verhalten, vom verursachten Schaden oder der Person des Ersatzpflichtigen Kenntnis hat ( BGE 126 II 145 E. 2b S. 151; Urteil 2A.288/1996 vom 25. Februar 1997 E. 3b).</w:t>
      </w:r>
    </w:p>
    <w:p>
      <w:r>
        <w:rPr>
          <w:b/>
        </w:rPr>
        <w:t>E. 7.4.2</w:t>
      </w:r>
    </w:p>
    <w:p>
      <w:r>
        <w:t>Im Strafrecht hat das Bundesgericht in BGE 134 IV 297 im Rahmen eines Strafverfahrens wegen Tötung und Körperverletzung im Zusammenhang mit Asbestexposition die bisherige Rechtsprechung, gemäss welcher die Verjährung nach Art. 98 lit. a StGB bzw. aArt. 71 Abs. 1 StGB mit dem Tag beginnt, an dem der Täter die strafbare Handlung bzw. Tätigkeit ausführt, und somit für den Beginn des Fristenlaufs der Zeitpunkt des tatbestandsmässigen Verhaltens, nicht der Eintritt des allenfalls zur Vollendung des Delikts erforderlichen Erfolgs massgebend ist, einer Überprüfung unterzogen. Es wies bei der Gesetzesauslegung zunächst darauf hin, dass BGE 136 II 187 S. 196 sich der Wortlaut der Bestimmung über den Beginn der Verjährung in sämtlichen drei Sprachen auf die Tätigkeit, nicht auf das Delikt insgesamt und auch nicht auf den Erfolg bezieht. Dies, so das Bundesgericht, werde auch bestätigt durch die Entstehungsgeschichte der Regelung, da mit der Verabschiedung des neuen Allgemeinen Teils des Strafgesetzbuches am 13. Dezember 2002 kein Zweifel daran bestehen könne, dass der Gesetzgeber auch unter Berücksichtigung des Umstandes, dass Straftaten verjährt sein können, bevor der Straftatbestand erfüllt ist, die Tathandlung und nicht den Erfolg für den Verjährungsbeginn als massgebend erachtet habe. Es setzte sich sodann mit der Frage auseinander, ob die wörtliche Auslegung des Gesetzes der aus der ratio legis abzuleitenden Funktion der Verjährung widerspreche. Unter diesem Gesichtspunkt führte das Bundesgericht im Wesentlichen aus, es entspreche in unserem Rechtskreis allgemeiner Überzeugung, dass Straftaten nach gewisser Zeit nicht mehr verfolgt werden sollen. Nach Ablauf einer gewissen Zeit erscheine eine Bestrafung weder als kriminalpolitisch notwendig noch als gerecht. Das Bedürfnis nach Ausgleich begangenen Unrechts durch Verhängung einer Strafe schwinde mit der Zeit und damit auch die dadurch angestrebte Bewährung der Rechtsordnung wie auch die Notwendigkeit spezialpräventiver Einwirkung auf den Täter. Des weiteren gewichtete das Bundesgericht die mit dem Zeitablauf zunehmenden Beweisschwierigkeiten sowie das Gebot der Verfahrensökonomie in dem Sinne, als sich die Strafverfolgungsbehörden angesichts der beschränkten Ressourcen auf die strafrechtliche Verarbeitung von Fällen konzentrieren können, bei denen noch eine realistische Aussicht auf Aufklärung besteht. Eine Auseinandersetzung mit diesen Argumenten führte das Bundesgericht zum Schluss, es widerspreche der Ratio der Verjährung nicht, diese nicht erst ab Erfolg, sondern schon mit der Tathandlung laufen zu lassen. Die Anknüpfung der Verjährung an das Handlungsunrecht, so schliesslich das Bundesgericht, beruhe auf sachlichen Gründen und halte damit auch den Anforderungen einer verfassungs- und konventionskonformen Auslegung stand. Es bestätigte somit die bisherige strafrechtliche Rechtsprechung mit der Konsequenz, dass Straftaten verjährt sein können, bevor der Erfolg eingetreten ist (zum Ganzen: BGE 134 IV 297 mit Hinweisen auf Judikatur und Literatur).</w:t>
      </w:r>
    </w:p>
    <w:p>
      <w:r>
        <w:rPr>
          <w:b/>
        </w:rPr>
        <w:t>E. 7.4.3</w:t>
      </w:r>
    </w:p>
    <w:p>
      <w:r>
        <w:t>Im Bereich der Opferhilfe befasste sich das Bundesgericht in BGE 134 II 308 im Rahmen der Beschwerde eines Asbestopfers bzw. dessen Witwe mit der Frage, ob sich der zeitliche BGE 136 II 187 S. 197 Geltungsbereich der Art. 11-17 OHG (SR 312.5) über die Entschädigung und Genugtuung bei fahrlässigen Erfolgsdelikten mit grossem zeitlichem Abstand der Tathandlung zum Eintritt des tatbestandsmässigen Erfolgs auch auf Angelegenheiten erstrecke, bei welchen das strafbare Verhalten vor Inkrafttreten dieser opferhilferechtlichen Bestimmungen stattfand, der strafrechtlich relevante Erfolg aber erst nach dem Inkrafttreten des OHG eintrat. Das Bundesgericht legte zunächst dar, dass Art. 12 Abs. 3 OHV (SR 312.51), gemäss welchem die erwähnten Bestimmungen des Opferhilfegesetzes nur für Straftaten gelten, welche nach Inkrafttreten des OHG per 1. Januar 1993 begangen wurden, auf einer hinreichenden gesetzlichen Grundlage in Art. 19 Abs. 2 OHG beruht. Zu prüfen sei jedoch im Hinblick auf die erst rund 40 Jahre nach der geltend gemachten Asbestexposition aufgetretene schwere Erkrankung, so das Bundesgericht, in welchem Zeitpunkt die mutmassliche Straftat im Sinne von Art. 12 Abs. 3 OHV "begangen" worden sei, und dabei namentlich die Frage, ob im Sinne der im Strafrecht vorherrschenden täterbezogenen Betrachtungsweise lediglich der Zeitpunkt des tatbestandsmässigen Verhaltens und nicht derjenige des Eintritts des zur Vollendung eines Delikts erforderlichen Erfolgs massgebend sei. Unter Berücksichtigung der in Erwägung 7.3 hievor dargelegten Auslegungskriterien führte das Bundesgericht aus, Zweck des OHG sei die Gewährleistung von wirksamer Hilfe an Opfer von Straftaten und die Verbesserung ihrer Rechtsstellung mittels Beratung, Schutz des Opfers und seiner Rechte im Strafverfahren sowie Entschädigung und Genugtuung. Die Opferhilfeleistungen, so das Gericht, knüpfen an das Vorliegen einer Straftat an, wozu das Vorliegen der objektiven Tatbestandsmerkmale gehöre. Dementsprechend erhalte gemäss Art. 1 Abs. 1 OHG jede Person, die durch eine Straftat in ihrer körperlichen, sexuellen oder psychischen Integrität unmittelbar beeinträchtigt worden sei (Opfer), Hilfe nach dem Opferhilfegesetz. Anders als im Strafrecht ergebe sich aus dem Regelungszweck und der gesetzlichen Umschreibung des Geltungsbereichs des OHG somit ein opferbezogener Ansatz. Aus dieser Sichtweise in Verbindung mit dem in Art. 5 Abs. 3 BV verankerten Grundsatz von Treu und Glauben habe das Bundesgericht bereits früher entschieden, dass ein Opfer die massgebende Schädigung bzw. Verletzung erkennen können müsse, bevor es sich auf das Vorliegen einer Straftat im Sinne des OHG berufen könne. Diese Rechtsprechung habe Eingang in Art. 25 Abs. 1 des revidierten, am 1. Januar 2009 in Kraft BGE 136 II 187 S. 198 getretenen Opferhilfegesetzes gefunden, wonach ein Gesuch um Entschädigung und Genugtuung innert fünf Jahren nach der Straftat oder nach Kenntnis der Straftat einzureichen sei, andernfalls die Ansprüche verwirkten. Da das Opferhilferecht insgesamt von einer opferbezogenen Betrachtungsweise beherrscht werde, sei auch der zeitliche Geltungsbereich aus der Opferperspektive zu beurteilen. Beim vorliegend zu beurteilenden Sachverhalt, bei welchem das angeblich als fahrlässige Körperverletzung einzustufende Verhalten in einer Verletzung von Sorgfaltspflichten durch den Arbeitgeber in den Jahren 1963-1967 bestehen soll und die aus der Sorgfaltswidrigkeit abgeleitete Erkrankung im Jahr 2006 festgestellt wurde, kann laut Bundesgericht aus der im Opferhilferecht massgebenden Opferperspektive bei Beendigung des sorgfaltswidrigen Verhaltens noch nicht von der Begehung einer Straftat im Sinne des OHG gesprochen werden, solange kein tatbestandsmässiger Erfolg vorliegt. Bezüglich des zeitlichen Geltungsbereichs im Sinne von Art. 12 Abs. 3 OHV gehöre zur Begehung einer Straftat nicht bloss das fahrlässige Verhalten als Ursache des Erfolgseintritts, sondern massgebend sei vielmehr der Eintritt des tatbestandsmässigen Erfolgs solchen Verhaltens. Das sich durch dieses Auslegungsergebnis zeigende unterschiedliche Verständnis der "Begehung einer Straftat" nach Art. 12 Abs. 3 OHV und der "Ausführung der strafbaren Tätigkeit" bei den Verjährungsregeln von Art. 98 StGB liegt, so das Bundesgericht, in den nicht identischen Zielsetzungen des OHG und der Verjährungsbestimmungen des StGB begründet. Zur Erreichung des Ziels des Opferhilferechts werde in verschiedener Hinsicht von strafrechtlichen Grundsätzen abgewichen, sei es doch beispielsweise auch gerechtfertigt, das Vorliegen einer Straftat im Sinne von Art. 1 Abs. 1 OHG zu bejahen, obwohl der Täter wegen der strafrechtlichen Verjährungsregeln vom Strafrichter nicht mehr verurteilt werden könne (zum Ganzen: BGE 134 II 308 mit Hinweisen auf Judikatur und Literatur).</w:t>
      </w:r>
    </w:p>
    <w:p>
      <w:r>
        <w:rPr>
          <w:b/>
        </w:rPr>
        <w:t>E. 7.4.4</w:t>
      </w:r>
    </w:p>
    <w:p>
      <w:r>
        <w:t>Was schliesslich den Bereich des ausservertraglichen Haftpflichtrechts anbelangt, verjährt der Anspruch auf Schadenersatz oder Genugtuung gemäss Art. 60 Abs. 1 OR in einem Jahr von dem Tag hinweg, wo der Geschädigte Kenntnis vom Schaden und von der Person des Haftpflichtigen erlangt hat, jedenfalls aber mit dem Ablauf von zehn Jahren, vom Tag der schädigenden Handlung an gerechnet. Das Bundesgericht geht in konstanter Rechtsprechung davon aus, dass der Beginn der Zehnjahresfrist vom BGE 136 II 187 S. 199 Schadenseintritt und von der Kenntnis des Schadens durch die geschädigte Person unabhängig ist und einzig der Zeitpunkt des den Schaden verursachenden Verhaltens massgeblich ist ( BGE 127 III 257 E. 2b/aa S. 259; BGE 126 II 145 E. 2b S. 151; je mit Hinweisen; Urteil 2C.3/2005vom 10. Januar 2007 E. 4.1). Dies hat zur Folge, dass im Bereich desausservertraglichen Haftpflichtrechts gemäss Bundesgericht und herrschender Lehre eine Ersatzforderung verjähren kann, bevor die geschädigte Person ihren Schaden wahrgenommen hat. Wie die Beschwerdeführerin darlegt, wird dies in der Lehre teilweise kritisiert,namentlich in Fällen, bei denen der Schaden zeitverzögert eintritt(vgl. FRANZ WERRO, in: Commentaire romand, Code des obligations,Bd. I, 2003, N. 25 zu Art. 60 OR ; PASCAL PICHONNAZ, La prescriptionde l'action en dommages-intérêts: Un besoin de réforme, in: Le temps dans la responsabilité civile, 2007, S. 89 ff.). Mehrheitlich wird indessen darauf hingewiesen, dass diese Konsequenz - trotzmöglicherweise auftretenden unbilligen Härten in Einzelfällen - im Interesse der Rechtssicherheit in Kauf genommen werde (vgl. ROBERT K. DÄPPEN, in: Basler Kommentar, Obligationenrecht, Bd. I, 2007, N. 9 zu Art. 60 OR ; ROLAND BREHM, Berner Kommentar, 3. Aufl. 2006, N. 64 zu Art. 60 OR ; HEINZ REY, Ausservertragliches Haftpflichtrecht, 4. Aufl. 2008, Rz. 1630 ff.). Zur Begründung wird etwa ausgeführt, dass ein Beginn der Zehnjahresfrist in zeitlich unbeschränkter Weise erst bei Kenntnisnahme von Schaden und Ersatzpflichtigem durch den Geschädigten zu einer kaum vertretbarenVerschlechterung der Schuldnerstellung und zu möglicherweise jahrelang andauernder Rechtsunsicherheit führen würde, was mit dem Zweckgedanken des Verjährungsinstitutes kaum vereinbar wäre(vgl. REY, a.a.O., Rz. 1630). Selbst wenn teilweise die Idee, den Schadenseintritt als Fristbeginn zu nehmen, im Rahmen einer teleologischen Auslegung begrüsst wird, geht die herrschende Lehre davon aus, dass dies mit der heutigen gesetzlichen Regelung nicht vereinbar wäre (vgl. BREHM, a.a.O., N. 64a zu Art. 60 OR ; DÄPPEN, a.a.O., N. 9 zu Art. 60 OR ). In diesem Zusammenhang ist darauf hinzuweisen, dass zur Zeit aufgrund einer angenommenen Motion (07.3763) eine Gesetzesänderung zur Verlängerung der Verjährungsfristen im Haftpflichtrecht vorbereitet wird. Damit soll gewährleistet werden, dass Opfer auch bei Spätschäden Schadenersatzansprüche geltend machen können, wobei namentlich auf die Asbestfälle hingewiesen wird, bei welchen Schadenersatzansprüche verjähren können, bevor das Opfer den erlittenen Schaden überhaupt bemerkt. BGE 136 II 187 S. 200</w:t>
      </w:r>
    </w:p>
    <w:p>
      <w:r>
        <w:rPr>
          <w:b/>
        </w:rPr>
        <w:t>E. 7.5</w:t>
      </w:r>
    </w:p>
    <w:p>
      <w:r>
        <w:t>Zusammenfassend lässt sich festhalten, dass gemäss konstanter Rechtsprechung sowohl bei Haftungsansprüchen nach VG, wie auch im Bereich des Strafrechts und des ausservertraglichen Haftpflichtrechts für den Beginn der Frist der absoluten Verjährung/Verwirkung entsprechend dem Wortlaut der jeweiligen Bestimmung auf den Zeitpunkt der schädigenden Handlung, nicht auf denjenigen des Eintritts des Schadens bzw. Erfolgs abgestellt wird mit der Konsequenz, dass ein Anspruch vor Kenntnis des Schadens verjährt/verwirkt sein kann. Dies lässt sich damit begründen, dass der Wortlaut der entsprechenden Bestimmungen von deren ratio legis, nämlich vor allem Wahrung von Rechtssicherheit und Rechtsfrieden, Berücksichtigung der durch Zeitablauf eintretenden Verdunkelung der Verhältnisse und Erschwerung des Beweises sowie schliesslich auch Schuldnerschutz vor Ansprüchen aus lange zurückliegender Zeit, gedeckt ist. Am klarsten ergibt sich dies im Bereich des Strafrechts einerseits aus der in Erwägung 7.4.2 hievor erwähnten täterspezifischen Betrachtungsweise, anderseits aus den in Erwägung 7.4 dargelegten Rechtsgründen der Verjährung/Verwirkung allgemein. Diese Rechtsgründe gelten nicht nur im Bereich des Strafrechts, sondern auch im Bereich der Schadenersatz- und Genugtuungsansprüche aus Verantwortlichkeitsgesetz oder aus ausservertraglichem Haftpflichtrecht. Davon abweichend wird lediglich im Bereich der Opferhilfe nicht der Zeitpunkt der schädigenden Handlung, sondern der Eintritt des tatbestandsmässigen Erfolgs als massgebend erachtet. Dies liegt jedoch in der ratio legis des Opferhilfegesetzes begründet, nämlich in der Unterstützung und im Schutz des Opfers, was wiederum die opferbezogene Sichtweise im Sinne des Anknüpfens an den Schadenseintritt bedingt. Einer Abwägung der gegenüberstehenden Interessen kommt im Gegensatz zu den erwähnten andern Rechtsgebieten eine weitaus kleinere Bedeutung zu. Wenn zur Zeit aufgrund der in den letzten Jahren an Aktualität gewonnenen Problematik von Spätschäden zufolge Asbestexposition - ebenfalls im Sinne einer stärker opferbezogenen Betrachtungsweise - eine Gesetzesrevision zur Verlängerung der Verjährungsfristen im ausservertraglichen Haftpflichtrecht vorbereitet wird, ist dies eine politische Entscheidung, welche der Gesetzgeber zu treffen hat.</w:t>
      </w:r>
    </w:p>
    <w:p>
      <w:r>
        <w:rPr>
          <w:b/>
        </w:rPr>
        <w:t>E. 8</w:t>
      </w:r>
    </w:p>
    <w:p>
      <w:r>
        <w:t>Es bleibt schliesslich zu prüfen, ob der Berücksichtigung der Verwirkungsfrist von zehn Jahren ab dem Tag der schädigenden Handlung, wie sie Art. 20 Abs. 1 VG vorsieht, im vorliegenden Fall Rechtssätze des internationalen oder schweizerischen Rechts BGE 136 II 187 S. 201 entgegenstehen, die es gebieten, dem Zeitablauf keine Rechnung zu tragen (vgl. BGE 126 II 145 E. 3 S. 152).</w:t>
      </w:r>
    </w:p>
    <w:p>
      <w:r>
        <w:rPr>
          <w:b/>
        </w:rPr>
        <w:t>E. 8.1</w:t>
      </w:r>
    </w:p>
    <w:p>
      <w:r>
        <w:t>Der Zeitablauf als Hinderungsgrund für die Durchsetzbarkeit bzw. als Untergangsgrund für einen Anspruch gilt unter dem allgemeinen Vorbehalt von Treu und Glauben (GADOLA, a.a.O., S. 55; MOOR, a.a.O., S. 83 Ziff. 1.3.1 und S. 89 Ziff. 1.3.2). Die Beschwerdeführerin ruft den Grundsatz von Treu und Glauben, welcher ein loyales und vertrauenswürdiges Verhalten im Rechtsverkehr gebietet, lediglich im Zusammenhang mit der Wiederherstellung der Frist an. Dass die fehlende Kenntnis des Schadens nicht als unverschuldeter, unüberwindbarer Grund der verspäteten Geltendmachung des Anspruchs und somit als Wiederherstellungsgrund der Verwirkungsfrist gelten kann, wurde in Erwägung 6 hievor dargelegt. Eine anderweitige Verletzung des Grundsatzes von Treu und Glauben wird nicht geltend gemacht und ist auch aus den Akten nicht ersichtlich. Namentlich liegt kein Verhalten des Schuldners vor, welches den Gläubiger bzw. die Gläubigerin von der rechtzeitigen Geltendmachung des Anspruchs abgehalten hätte, sondern ist die Frist ohne Zutun des Schuldners unbenutzt verstrichen (vgl. BGE 126 II 145 E. 3b/aa S. 153).</w:t>
      </w:r>
    </w:p>
    <w:p>
      <w:r>
        <w:rPr>
          <w:b/>
        </w:rPr>
        <w:t>E. 8.2</w:t>
      </w:r>
    </w:p>
    <w:p>
      <w:r>
        <w:t>Die Beschwerdeführerin macht geltend, der Eintritt von Verjährung/Verwirkung des Schadenersatzanspruchs vor Kenntnis des Schadens verstosse gegen den Grundsatz des fairen Verfahrens und des freien Zugangs zum Gericht gemäss Art. 6 EMRK . Diese Frage wurde in BGE 134 IV 297 E. 4.3.5 S. 305 f. angesprochen, jedoch nicht näher geprüft, da weder zivilrechtliche Ansprüche noch die Stichhaltigkeit der gegen eine Person gerichteten strafrechtlichen Anklage zu prüfen waren.</w:t>
      </w:r>
    </w:p>
    <w:p>
      <w:r>
        <w:rPr>
          <w:b/>
        </w:rPr>
        <w:t>E. 8.2.1</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(Satz 1). Von dieser Konventionsbestimmung werden nicht nur zivilrechtliche Streitigkeiten im eigentlichen Sinne erfasst, sondern auch Verwaltungsakte hoheitlich handelnder Behörden, die massgeblich in private Rechtspositionen eingreifen. In diesem Sinne als zivilrechtlich gelten unter anderem auch Schadenersatzforderungen BGE 136 II 187 S. 202 gegenüber dem Gemeinwesen (vgl. BGE 134 I 331 E. 2.1 S. 332 ; 130 I 388 E. 5.1 S. 394 und E. 5.3 S. 397; FROWEIN/PEUKERT, EMRK-Kommentar, 3. Aufl. 2009, N. 15 f. zu Art. 6 EMRK ; MARK VILLIGER, Handbuch der Europäischen Menschenrechtskonvention [EMRK], 2. Aufl. 1999, N. 385 zu Art. 6 EMRK ; JENS MEYER-LADEWIG, Europäische Menschenrechtskonvention, Handkommentar, 2. Aufl. 2006, N. 8 zu Art. 6 EMRK ). Bei der vorliegenden Staatshaftungsstreitigkeit handelt es sich somit um eine zivilrechtliche Streitigkeit im Sinne von Art. 6 EMRK , bei welcher der Zugang zu einem Gericht zu gewähren ist. Selbst der durch die Konventionsbestimmung gewährte Zugang gilt indessen nicht voraussetzungslos und absolut. Vielmehr kann er an sachliche Bedingungen geknüpft werden. Einschränkungen müssen jedoch einen rechtmässigen Zweck verfolgen und dürfen im Hinblick auf den zu erreichenden Zweck nicht unverhältnismässig sein. Sie dürfen nicht so weit gehen, dass sie das Recht auf Zugang zum Gericht seiner Substanz entleeren (Urteil des EGMR Stubbings et al. gegen Vereinigtes Königreich vom 22. Oktober 1996, Recueil CourEDH 1996-IV S. 1487 Ziff. 50).Als nicht grundsätzlich konventionswidrig gelten beispielsweise Substantiierungsanforderungen, ein Anwaltszwang mit der Möglichkeit der unentgeltlichen Rechtspflege, Form- und Fristvorschriften usw. (vgl. FROWEIN/PEUKERT, a.a.O., N. 64 ff. zu Art. 6 EMRK ; VILLIGER, a.a.O., N. 432 zu Art. 6 EMRK ; MEYER-LADEWIG, a.a.O., N. 20 ff. zu Art. 6 EMRK ).</w:t>
      </w:r>
    </w:p>
    <w:p>
      <w:r>
        <w:rPr>
          <w:b/>
        </w:rPr>
        <w:t>E. 8.2.2</w:t>
      </w:r>
    </w:p>
    <w:p>
      <w:r>
        <w:t>Was die vorliegend zur Diskussion stehenden Vorschriften betreffend Verjährung/Verwirkung anbelangt, ist zunächst darauf hinzuweisen, dass das Verjährungsrecht einen bedeutsamen Bestandteil moderner Rechtsordnungen darstellt und dass - soweit ersichtlich - in sämtlichen europäischen Staaten die Möglichkeit der gerichtlichen Geltendmachung zivilrechtlicher Ansprüche aus Gründen der Rechtssicherheit befristet ist (vgl. REINHARD ZIMMERMANN, "... ut sit finis litium", Grundlinien eines modernen Verjährungsrechts auf rechtsvergleichender Grundlage, Juristen Zeitung 2000 S. 853 ff.). Die Verwirkung der geltend gemachten Schadenersatzforderung ist sodann nicht unverhältnismässig, da das schweizerische System Asbestopfern und ihren überlebenden Angehörigen über das Unfallversicherungsrecht in Form von Pflegeleistungen, Rentenleistungen sowie Integritätsentschädigung - unabhängig von der Verwirkungsfrist für Verantwortlichkeitsansprüche gemäss Art. 20 Abs. 1 VG - eine sachgerechte Entschädigung bietet. Eine Verletzung von Art. 6 EMRK ist somit nicht auszumachen. BGE 136 II 187 S. 203</w:t>
      </w:r>
    </w:p>
    <w:p>
      <w:r>
        <w:rPr>
          <w:b/>
        </w:rPr>
        <w:t>E. 8.3</w:t>
      </w:r>
    </w:p>
    <w:p>
      <w:r>
        <w:t>Zusammenfassend lässt sich festhalten, dass der Berücksichtigung der Verwirkungsfrist von zehn Jahren ab dem Tag der schädigenden Handlung auch keine Rechtssätze des internationalen oder schweizerischen Rechts entgegenstehen. Die Vorinstanz ist somit zu Recht zum Schluss gekommen, dass eine allfällige Haftung der SUVA für schädigende Handlungen oder Unterlassungen vor dem 14. November 1995 erloschen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